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C4AAA" w14:textId="77777777" w:rsidR="00AF728C" w:rsidRDefault="00AF728C" w:rsidP="009F3398">
      <w:pPr>
        <w:ind w:left="-1134" w:right="-524"/>
        <w:rPr>
          <w:b/>
          <w:color w:val="7F7F7F" w:themeColor="text1" w:themeTint="80"/>
          <w:szCs w:val="24"/>
        </w:rPr>
      </w:pPr>
    </w:p>
    <w:p w14:paraId="2680D498" w14:textId="77777777" w:rsidR="009A120C" w:rsidRDefault="009F3398" w:rsidP="009F3398">
      <w:pPr>
        <w:ind w:left="-1134" w:right="-524"/>
        <w:rPr>
          <w:color w:val="7F7F7F" w:themeColor="text1" w:themeTint="80"/>
          <w:szCs w:val="24"/>
        </w:rPr>
      </w:pPr>
      <w:r w:rsidRPr="0060787B">
        <w:rPr>
          <w:b/>
          <w:color w:val="005188"/>
          <w:szCs w:val="24"/>
        </w:rPr>
        <w:t>The Extended Super Priority Lien Coverage</w:t>
      </w:r>
      <w:r w:rsidRPr="0060787B">
        <w:rPr>
          <w:color w:val="005188"/>
          <w:szCs w:val="24"/>
        </w:rPr>
        <w:t xml:space="preserve"> </w:t>
      </w:r>
      <w:r w:rsidRPr="00AF728C">
        <w:rPr>
          <w:color w:val="7F7F7F" w:themeColor="text1" w:themeTint="80"/>
          <w:szCs w:val="24"/>
        </w:rPr>
        <w:t xml:space="preserve">from FCT can provide added protection </w:t>
      </w:r>
      <w:r w:rsidR="00D4446F" w:rsidRPr="00AF728C">
        <w:rPr>
          <w:color w:val="7F7F7F" w:themeColor="text1" w:themeTint="80"/>
          <w:szCs w:val="24"/>
        </w:rPr>
        <w:t>for deemed trust claims made by government authorities within 10 years following the discharge of the mortgage, up to a maximum of $500,000</w:t>
      </w:r>
      <w:r w:rsidRPr="00AF728C">
        <w:rPr>
          <w:color w:val="7F7F7F" w:themeColor="text1" w:themeTint="80"/>
          <w:szCs w:val="24"/>
        </w:rPr>
        <w:t xml:space="preserve">. </w:t>
      </w:r>
    </w:p>
    <w:p w14:paraId="425D9B78" w14:textId="77777777" w:rsidR="009A120C" w:rsidRDefault="009A120C" w:rsidP="009F3398">
      <w:pPr>
        <w:ind w:left="-1134" w:right="-524"/>
        <w:rPr>
          <w:color w:val="7F7F7F" w:themeColor="text1" w:themeTint="80"/>
          <w:szCs w:val="24"/>
        </w:rPr>
      </w:pPr>
    </w:p>
    <w:p w14:paraId="6E30404B" w14:textId="74441DC1" w:rsidR="00F92AA7" w:rsidRPr="00AF728C" w:rsidRDefault="009F3398" w:rsidP="009F3398">
      <w:pPr>
        <w:ind w:left="-1134" w:right="-524"/>
        <w:rPr>
          <w:color w:val="7F7F7F" w:themeColor="text1" w:themeTint="80"/>
          <w:szCs w:val="24"/>
        </w:rPr>
      </w:pPr>
      <w:r w:rsidRPr="00AF728C">
        <w:rPr>
          <w:color w:val="7F7F7F" w:themeColor="text1" w:themeTint="80"/>
          <w:szCs w:val="24"/>
        </w:rPr>
        <w:t xml:space="preserve">Here’s a scenario to </w:t>
      </w:r>
      <w:r w:rsidR="009A120C">
        <w:rPr>
          <w:color w:val="7F7F7F" w:themeColor="text1" w:themeTint="80"/>
          <w:szCs w:val="24"/>
        </w:rPr>
        <w:t>illustrate</w:t>
      </w:r>
      <w:r w:rsidRPr="00AF728C">
        <w:rPr>
          <w:color w:val="7F7F7F" w:themeColor="text1" w:themeTint="80"/>
          <w:szCs w:val="24"/>
        </w:rPr>
        <w:t xml:space="preserve"> how it works: </w:t>
      </w:r>
    </w:p>
    <w:p w14:paraId="43420F54" w14:textId="40CF81BF" w:rsidR="00C4009D" w:rsidRPr="00AF728C" w:rsidRDefault="00AF728C" w:rsidP="00B93B9F">
      <w:pPr>
        <w:ind w:left="-1134" w:right="-524"/>
        <w:rPr>
          <w:szCs w:val="24"/>
        </w:rPr>
      </w:pPr>
      <w:r>
        <w:rPr>
          <w:noProof/>
        </w:rPr>
        <w:drawing>
          <wp:inline distT="0" distB="0" distL="0" distR="0" wp14:anchorId="73B15B9E" wp14:editId="253887BF">
            <wp:extent cx="6768810" cy="2924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98789" cy="2937221"/>
                    </a:xfrm>
                    <a:prstGeom prst="rect">
                      <a:avLst/>
                    </a:prstGeom>
                  </pic:spPr>
                </pic:pic>
              </a:graphicData>
            </a:graphic>
          </wp:inline>
        </w:drawing>
      </w:r>
    </w:p>
    <w:p w14:paraId="2ED71AD2" w14:textId="1037D78E" w:rsidR="00C4009D" w:rsidRPr="00AF728C" w:rsidRDefault="00C4009D" w:rsidP="00C4009D">
      <w:pPr>
        <w:ind w:left="-1134" w:right="-524"/>
        <w:rPr>
          <w:szCs w:val="24"/>
        </w:rPr>
      </w:pPr>
    </w:p>
    <w:p w14:paraId="23FC0F18" w14:textId="60D5F0AA" w:rsidR="009F3398" w:rsidRPr="0060787B" w:rsidRDefault="009A120C" w:rsidP="00AF728C">
      <w:pPr>
        <w:ind w:left="-1134" w:right="-524"/>
        <w:rPr>
          <w:color w:val="005188"/>
          <w:sz w:val="28"/>
          <w:szCs w:val="24"/>
        </w:rPr>
      </w:pPr>
      <w:r w:rsidRPr="0060787B">
        <w:rPr>
          <w:noProof/>
          <w:color w:val="005188"/>
          <w:szCs w:val="24"/>
        </w:rPr>
        <w:drawing>
          <wp:anchor distT="0" distB="0" distL="114300" distR="114300" simplePos="0" relativeHeight="251658240" behindDoc="0" locked="0" layoutInCell="1" allowOverlap="1" wp14:anchorId="3B23705B" wp14:editId="58C0FF96">
            <wp:simplePos x="0" y="0"/>
            <wp:positionH relativeFrom="column">
              <wp:posOffset>-718820</wp:posOffset>
            </wp:positionH>
            <wp:positionV relativeFrom="paragraph">
              <wp:posOffset>198120</wp:posOffset>
            </wp:positionV>
            <wp:extent cx="3292475" cy="1207135"/>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92475" cy="1207135"/>
                    </a:xfrm>
                    <a:prstGeom prst="rect">
                      <a:avLst/>
                    </a:prstGeom>
                  </pic:spPr>
                </pic:pic>
              </a:graphicData>
            </a:graphic>
            <wp14:sizeRelH relativeFrom="margin">
              <wp14:pctWidth>0</wp14:pctWidth>
            </wp14:sizeRelH>
            <wp14:sizeRelV relativeFrom="margin">
              <wp14:pctHeight>0</wp14:pctHeight>
            </wp14:sizeRelV>
          </wp:anchor>
        </w:drawing>
      </w:r>
      <w:r w:rsidR="00AF728C" w:rsidRPr="0060787B">
        <w:rPr>
          <w:b/>
          <w:color w:val="005188"/>
          <w:sz w:val="24"/>
          <w:szCs w:val="24"/>
        </w:rPr>
        <w:t>In</w:t>
      </w:r>
      <w:r w:rsidR="009F3398" w:rsidRPr="0060787B">
        <w:rPr>
          <w:b/>
          <w:color w:val="005188"/>
          <w:sz w:val="24"/>
          <w:szCs w:val="24"/>
        </w:rPr>
        <w:t xml:space="preserve"> this scenario, </w:t>
      </w:r>
      <w:r w:rsidR="00D019AC" w:rsidRPr="0060787B">
        <w:rPr>
          <w:b/>
          <w:color w:val="005188"/>
          <w:sz w:val="24"/>
          <w:szCs w:val="24"/>
        </w:rPr>
        <w:t>what is the</w:t>
      </w:r>
      <w:r w:rsidR="00C4009D" w:rsidRPr="0060787B">
        <w:rPr>
          <w:b/>
          <w:color w:val="005188"/>
          <w:sz w:val="24"/>
          <w:szCs w:val="24"/>
        </w:rPr>
        <w:t xml:space="preserve"> priority?</w:t>
      </w:r>
    </w:p>
    <w:p w14:paraId="69FA7015" w14:textId="0CC4469F" w:rsidR="009F3398" w:rsidRPr="009A120C" w:rsidRDefault="009F3398" w:rsidP="00AF728C">
      <w:pPr>
        <w:ind w:left="-1134" w:right="-240"/>
        <w:rPr>
          <w:b/>
          <w:color w:val="7F7F7F" w:themeColor="text1" w:themeTint="80"/>
          <w:szCs w:val="24"/>
        </w:rPr>
      </w:pPr>
      <w:r w:rsidRPr="009A120C">
        <w:rPr>
          <w:color w:val="7F7F7F" w:themeColor="text1" w:themeTint="80"/>
          <w:szCs w:val="24"/>
        </w:rPr>
        <w:t>Top Bank recovers what they can from the sale proceeds after power of sale proceedings but there was a shortfall given the outstanding balance of the mortgage was still high</w:t>
      </w:r>
      <w:r w:rsidRPr="009A120C">
        <w:rPr>
          <w:color w:val="005188"/>
          <w:szCs w:val="24"/>
        </w:rPr>
        <w:t xml:space="preserve">. </w:t>
      </w:r>
      <w:r w:rsidRPr="009A120C">
        <w:rPr>
          <w:b/>
          <w:color w:val="005188"/>
          <w:szCs w:val="24"/>
        </w:rPr>
        <w:t>Because FCT title insured Top Bank’s mortgage to ABC Company, Top Bank is covered for up to $60,000 for the lien for the deemed trust owing prior to the effective date of the policy*.</w:t>
      </w:r>
    </w:p>
    <w:p w14:paraId="6AAB7D3F" w14:textId="77777777" w:rsidR="00B93B9F" w:rsidRPr="00AF728C" w:rsidRDefault="00B93B9F" w:rsidP="009F3398">
      <w:pPr>
        <w:ind w:left="-1134" w:right="-524"/>
        <w:rPr>
          <w:color w:val="7F7F7F" w:themeColor="text1" w:themeTint="80"/>
          <w:szCs w:val="24"/>
        </w:rPr>
      </w:pPr>
    </w:p>
    <w:p w14:paraId="27B32480" w14:textId="7D7279BA" w:rsidR="009F3398" w:rsidRPr="00AF728C" w:rsidRDefault="009F3398" w:rsidP="009F3398">
      <w:pPr>
        <w:ind w:left="-1134" w:right="-524"/>
        <w:rPr>
          <w:color w:val="7F7F7F" w:themeColor="text1" w:themeTint="80"/>
          <w:szCs w:val="24"/>
        </w:rPr>
      </w:pPr>
      <w:r w:rsidRPr="00AF728C">
        <w:rPr>
          <w:color w:val="7F7F7F" w:themeColor="text1" w:themeTint="80"/>
          <w:szCs w:val="24"/>
        </w:rPr>
        <w:t>Historically, Top Bank’s coverage for the $60,000 owed to CRA ends once the mort</w:t>
      </w:r>
      <w:r w:rsidR="00912951">
        <w:rPr>
          <w:color w:val="7F7F7F" w:themeColor="text1" w:themeTint="80"/>
          <w:szCs w:val="24"/>
        </w:rPr>
        <w:t xml:space="preserve">gage is discharged from title. </w:t>
      </w:r>
      <w:r w:rsidR="00912951" w:rsidRPr="00912951">
        <w:rPr>
          <w:b/>
          <w:color w:val="005188"/>
          <w:szCs w:val="24"/>
        </w:rPr>
        <w:t>With FCT’s NEW Extended Super Priority Lien Coverage, the lender’s existing protection continues for another 10 years after the mortgage is discharged.</w:t>
      </w:r>
    </w:p>
    <w:p w14:paraId="200511A4" w14:textId="15921610" w:rsidR="009F3398" w:rsidRPr="00AF728C" w:rsidRDefault="009F3398" w:rsidP="009F3398">
      <w:pPr>
        <w:ind w:left="-1134" w:right="-524"/>
        <w:rPr>
          <w:color w:val="7F7F7F" w:themeColor="text1" w:themeTint="80"/>
          <w:szCs w:val="24"/>
        </w:rPr>
      </w:pPr>
      <w:r w:rsidRPr="00AF728C">
        <w:rPr>
          <w:color w:val="7F7F7F" w:themeColor="text1" w:themeTint="80"/>
          <w:szCs w:val="24"/>
        </w:rPr>
        <w:br/>
        <w:t>For more information about the Extended Super Priority Lien Coverage, please contact your</w:t>
      </w:r>
      <w:r w:rsidR="00C4009D" w:rsidRPr="00AF728C">
        <w:rPr>
          <w:color w:val="7F7F7F" w:themeColor="text1" w:themeTint="80"/>
          <w:szCs w:val="24"/>
        </w:rPr>
        <w:t xml:space="preserve"> FCT</w:t>
      </w:r>
      <w:r w:rsidRPr="00AF728C">
        <w:rPr>
          <w:color w:val="7F7F7F" w:themeColor="text1" w:themeTint="80"/>
          <w:szCs w:val="24"/>
        </w:rPr>
        <w:t xml:space="preserve"> </w:t>
      </w:r>
      <w:hyperlink r:id="rId9" w:history="1">
        <w:r w:rsidRPr="00AF728C">
          <w:rPr>
            <w:rStyle w:val="Hyperlink"/>
            <w:color w:val="7F7F7F" w:themeColor="text1" w:themeTint="80"/>
            <w:szCs w:val="24"/>
          </w:rPr>
          <w:t>Business Development Manager</w:t>
        </w:r>
      </w:hyperlink>
      <w:r w:rsidRPr="00AF728C">
        <w:rPr>
          <w:color w:val="7F7F7F" w:themeColor="text1" w:themeTint="80"/>
          <w:szCs w:val="24"/>
        </w:rPr>
        <w:t>.</w:t>
      </w:r>
    </w:p>
    <w:sectPr w:rsidR="009F3398" w:rsidRPr="00AF728C" w:rsidSect="00912951">
      <w:headerReference w:type="default" r:id="rId10"/>
      <w:footerReference w:type="default" r:id="rId11"/>
      <w:pgSz w:w="12240" w:h="15840"/>
      <w:pgMar w:top="1440" w:right="1043" w:bottom="2977" w:left="17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D1301" w14:textId="77777777" w:rsidR="00140F60" w:rsidRDefault="00140F60" w:rsidP="00B206B1">
      <w:r>
        <w:separator/>
      </w:r>
    </w:p>
  </w:endnote>
  <w:endnote w:type="continuationSeparator" w:id="0">
    <w:p w14:paraId="2215B83F" w14:textId="77777777" w:rsidR="00140F60" w:rsidRDefault="00140F60" w:rsidP="00B2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791A5" w14:textId="645DB3B5" w:rsidR="0008133D" w:rsidRPr="0008133D" w:rsidRDefault="0008133D" w:rsidP="0008133D">
    <w:pPr>
      <w:ind w:left="-1134" w:right="-524"/>
      <w:rPr>
        <w:rFonts w:asciiTheme="minorHAnsi" w:eastAsia="Times New Roman" w:hAnsiTheme="minorHAnsi" w:cstheme="minorHAnsi"/>
        <w:color w:val="A6A6A6" w:themeColor="background1" w:themeShade="A6"/>
      </w:rPr>
    </w:pPr>
    <w:r w:rsidRPr="0008133D">
      <w:rPr>
        <w:rFonts w:asciiTheme="minorHAnsi" w:eastAsia="Times New Roman" w:hAnsiTheme="minorHAnsi" w:cstheme="minorHAnsi"/>
        <w:noProof/>
        <w:color w:val="7F7F7F" w:themeColor="text1" w:themeTint="80"/>
        <w:sz w:val="24"/>
      </w:rPr>
      <mc:AlternateContent>
        <mc:Choice Requires="wps">
          <w:drawing>
            <wp:anchor distT="0" distB="0" distL="114300" distR="114300" simplePos="0" relativeHeight="251659264" behindDoc="0" locked="0" layoutInCell="1" allowOverlap="1" wp14:anchorId="1D1D48E9" wp14:editId="34099981">
              <wp:simplePos x="0" y="0"/>
              <wp:positionH relativeFrom="column">
                <wp:posOffset>5355106</wp:posOffset>
              </wp:positionH>
              <wp:positionV relativeFrom="paragraph">
                <wp:posOffset>77789</wp:posOffset>
              </wp:positionV>
              <wp:extent cx="126642" cy="103092"/>
              <wp:effectExtent l="0" t="7302" r="0" b="0"/>
              <wp:wrapNone/>
              <wp:docPr id="5" name="Isosceles Triangle 5"/>
              <wp:cNvGraphicFramePr/>
              <a:graphic xmlns:a="http://schemas.openxmlformats.org/drawingml/2006/main">
                <a:graphicData uri="http://schemas.microsoft.com/office/word/2010/wordprocessingShape">
                  <wps:wsp>
                    <wps:cNvSpPr/>
                    <wps:spPr>
                      <a:xfrm rot="5400000">
                        <a:off x="0" y="0"/>
                        <a:ext cx="126642" cy="103092"/>
                      </a:xfrm>
                      <a:prstGeom prst="triangle">
                        <a:avLst>
                          <a:gd name="adj" fmla="val 46772"/>
                        </a:avLst>
                      </a:prstGeom>
                      <a:solidFill>
                        <a:srgbClr val="0051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C0D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421.65pt;margin-top:6.15pt;width:9.95pt;height:8.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" adj="10103" fillcolor="#005188" stroked="f" strokeweight="1pt"/>
          </w:pict>
        </mc:Fallback>
      </mc:AlternateContent>
    </w:r>
    <w:r w:rsidRPr="0008133D">
      <w:rPr>
        <w:noProof/>
        <w:sz w:val="24"/>
      </w:rPr>
      <mc:AlternateContent>
        <mc:Choice Requires="wps">
          <w:drawing>
            <wp:anchor distT="0" distB="0" distL="114300" distR="114300" simplePos="0" relativeHeight="251661312" behindDoc="0" locked="0" layoutInCell="1" allowOverlap="1" wp14:anchorId="69C0D868" wp14:editId="31171779">
              <wp:simplePos x="0" y="0"/>
              <wp:positionH relativeFrom="page">
                <wp:posOffset>397896</wp:posOffset>
              </wp:positionH>
              <wp:positionV relativeFrom="paragraph">
                <wp:posOffset>302481</wp:posOffset>
              </wp:positionV>
              <wp:extent cx="6909546"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6909546"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64502" id="Straight Connector 7"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1.35pt,23.8pt" to="575.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" strokecolor="#bfbfbf [2412]">
              <v:stroke joinstyle="miter"/>
              <w10:wrap anchorx="page"/>
            </v:line>
          </w:pict>
        </mc:Fallback>
      </mc:AlternateContent>
    </w:r>
    <w:r w:rsidR="007F632B" w:rsidRPr="0008133D">
      <w:rPr>
        <w:rFonts w:asciiTheme="minorHAnsi" w:eastAsia="Times New Roman" w:hAnsiTheme="minorHAnsi" w:cstheme="minorHAnsi"/>
        <w:color w:val="7F7F7F" w:themeColor="text1" w:themeTint="80"/>
        <w:sz w:val="24"/>
      </w:rPr>
      <w:t xml:space="preserve">Toll free 1.866.804.3112 | commercialsolutions@fct.ca </w:t>
    </w:r>
    <w:r w:rsidR="007F632B" w:rsidRPr="0008133D">
      <w:rPr>
        <w:rFonts w:asciiTheme="minorHAnsi" w:eastAsia="Times New Roman" w:hAnsiTheme="minorHAnsi" w:cstheme="minorHAnsi"/>
        <w:color w:val="7F7F7F" w:themeColor="text1" w:themeTint="80"/>
      </w:rPr>
      <w:t xml:space="preserve">        </w:t>
    </w:r>
    <w:r w:rsidR="007F632B" w:rsidRPr="0008133D">
      <w:rPr>
        <w:rFonts w:asciiTheme="minorHAnsi" w:eastAsia="Times New Roman" w:hAnsiTheme="minorHAnsi" w:cstheme="minorHAnsi"/>
        <w:color w:val="7F7F7F" w:themeColor="text1" w:themeTint="80"/>
      </w:rPr>
      <w:tab/>
    </w:r>
    <w:r w:rsidR="007F632B" w:rsidRPr="0008133D">
      <w:rPr>
        <w:rFonts w:asciiTheme="minorHAnsi" w:eastAsia="Times New Roman" w:hAnsiTheme="minorHAnsi" w:cstheme="minorHAnsi"/>
        <w:color w:val="7F7F7F" w:themeColor="text1" w:themeTint="80"/>
      </w:rPr>
      <w:tab/>
    </w:r>
    <w:r>
      <w:rPr>
        <w:rFonts w:asciiTheme="minorHAnsi" w:eastAsia="Times New Roman" w:hAnsiTheme="minorHAnsi" w:cstheme="minorHAnsi"/>
        <w:color w:val="7F7F7F" w:themeColor="text1" w:themeTint="80"/>
      </w:rPr>
      <w:t xml:space="preserve">                          </w:t>
    </w:r>
    <w:r w:rsidR="007F632B" w:rsidRPr="0008133D">
      <w:rPr>
        <w:rFonts w:asciiTheme="minorHAnsi" w:eastAsia="Times New Roman" w:hAnsiTheme="minorHAnsi" w:cstheme="minorHAnsi"/>
        <w:color w:val="7F7F7F" w:themeColor="text1" w:themeTint="80"/>
      </w:rPr>
      <w:tab/>
    </w:r>
    <w:r w:rsidR="007F632B" w:rsidRPr="0008133D">
      <w:rPr>
        <w:rFonts w:asciiTheme="minorHAnsi" w:eastAsia="Times New Roman" w:hAnsiTheme="minorHAnsi" w:cstheme="minorHAnsi"/>
        <w:color w:val="7F7F7F" w:themeColor="text1" w:themeTint="80"/>
      </w:rPr>
      <w:tab/>
    </w:r>
    <w:r w:rsidR="007F632B" w:rsidRPr="0008133D">
      <w:rPr>
        <w:rFonts w:asciiTheme="minorHAnsi" w:eastAsia="Times New Roman" w:hAnsiTheme="minorHAnsi" w:cstheme="minorHAnsi"/>
        <w:color w:val="7F7F7F" w:themeColor="text1" w:themeTint="80"/>
      </w:rPr>
      <w:tab/>
    </w:r>
    <w:r>
      <w:rPr>
        <w:rFonts w:asciiTheme="minorHAnsi" w:eastAsia="Times New Roman" w:hAnsiTheme="minorHAnsi" w:cstheme="minorHAnsi"/>
        <w:color w:val="7F7F7F" w:themeColor="text1" w:themeTint="80"/>
      </w:rPr>
      <w:t xml:space="preserve">     </w:t>
    </w:r>
    <w:r>
      <w:rPr>
        <w:rFonts w:asciiTheme="minorHAnsi" w:eastAsia="Times New Roman" w:hAnsiTheme="minorHAnsi" w:cstheme="minorHAnsi"/>
        <w:b/>
        <w:color w:val="005188"/>
        <w:sz w:val="32"/>
      </w:rPr>
      <w:t>Fct</w:t>
    </w:r>
    <w:r w:rsidR="007F632B" w:rsidRPr="0008133D">
      <w:rPr>
        <w:rFonts w:asciiTheme="minorHAnsi" w:eastAsia="Times New Roman" w:hAnsiTheme="minorHAnsi" w:cstheme="minorHAnsi"/>
        <w:b/>
        <w:color w:val="005188"/>
        <w:sz w:val="32"/>
      </w:rPr>
      <w:t>.ca</w:t>
    </w:r>
    <w:r>
      <w:rPr>
        <w:rFonts w:asciiTheme="minorHAnsi" w:eastAsia="Times New Roman" w:hAnsiTheme="minorHAnsi" w:cstheme="minorHAnsi"/>
        <w:b/>
        <w:color w:val="005188"/>
        <w:sz w:val="28"/>
      </w:rPr>
      <w:br/>
    </w:r>
  </w:p>
  <w:p w14:paraId="20947126" w14:textId="522B4515" w:rsidR="009F3398" w:rsidRPr="009F3398" w:rsidRDefault="009F3398" w:rsidP="0008133D">
    <w:pPr>
      <w:ind w:left="-1134" w:right="-524"/>
      <w:rPr>
        <w:rFonts w:asciiTheme="minorHAnsi" w:eastAsia="Times New Roman" w:hAnsiTheme="minorHAnsi" w:cstheme="minorHAnsi"/>
        <w:color w:val="7F7F7F" w:themeColor="text1" w:themeTint="80"/>
        <w:sz w:val="16"/>
      </w:rPr>
    </w:pPr>
    <w:r w:rsidRPr="009F3398">
      <w:rPr>
        <w:rFonts w:asciiTheme="minorHAnsi" w:eastAsia="Times New Roman" w:hAnsiTheme="minorHAnsi" w:cstheme="minorHAnsi"/>
        <w:color w:val="7F7F7F" w:themeColor="text1" w:themeTint="80"/>
        <w:sz w:val="16"/>
      </w:rPr>
      <w:t>* Some restrictions apply. The maximum amount of coverage is the lesser of the Insured Amount defined in the policy or $500,000. The extended Super Priority Lien coverage is not available for vendor take-back (“VTB”) mortgages, residential policies insuring private lenders or commercial policies insuring private lenders where the lender is not in first or second priority. Any knowledge of existing liens or unpaid remittances must be disclosed for underwriting purposes.</w:t>
    </w:r>
  </w:p>
  <w:p w14:paraId="4687C032" w14:textId="77777777" w:rsidR="009F3398" w:rsidRPr="009F3398" w:rsidRDefault="009F3398" w:rsidP="0008133D">
    <w:pPr>
      <w:ind w:left="-1134" w:right="-950"/>
      <w:rPr>
        <w:rFonts w:asciiTheme="minorHAnsi" w:eastAsia="Times New Roman" w:hAnsiTheme="minorHAnsi" w:cstheme="minorHAnsi"/>
        <w:color w:val="7F7F7F" w:themeColor="text1" w:themeTint="80"/>
        <w:sz w:val="16"/>
      </w:rPr>
    </w:pPr>
  </w:p>
  <w:p w14:paraId="79C57C2B" w14:textId="59F6885C" w:rsidR="009F3398" w:rsidRPr="009F3398" w:rsidRDefault="009F3398" w:rsidP="0008133D">
    <w:pPr>
      <w:ind w:left="-1134" w:right="-524"/>
      <w:rPr>
        <w:rFonts w:asciiTheme="minorHAnsi" w:eastAsia="Times New Roman" w:hAnsiTheme="minorHAnsi" w:cstheme="minorHAnsi"/>
        <w:color w:val="7F7F7F" w:themeColor="text1" w:themeTint="80"/>
        <w:sz w:val="16"/>
      </w:rPr>
    </w:pPr>
    <w:r w:rsidRPr="009F3398">
      <w:rPr>
        <w:rFonts w:asciiTheme="minorHAnsi" w:eastAsia="Times New Roman" w:hAnsiTheme="minorHAnsi" w:cstheme="minorHAnsi"/>
        <w:color w:val="7F7F7F" w:themeColor="text1" w:themeTint="80"/>
        <w:sz w:val="16"/>
      </w:rPr>
      <w:t>Most commercial title insurance policies are provided jointly by </w:t>
    </w:r>
    <w:r w:rsidRPr="009F3398">
      <w:rPr>
        <w:rFonts w:asciiTheme="minorHAnsi" w:eastAsia="Times New Roman" w:hAnsiTheme="minorHAnsi" w:cstheme="minorHAnsi"/>
        <w:b/>
        <w:bCs/>
        <w:color w:val="7F7F7F" w:themeColor="text1" w:themeTint="80"/>
        <w:sz w:val="16"/>
      </w:rPr>
      <w:t>FCT Insurance Company Ltd.</w:t>
    </w:r>
    <w:r w:rsidRPr="009F3398">
      <w:rPr>
        <w:rFonts w:asciiTheme="minorHAnsi" w:eastAsia="Times New Roman" w:hAnsiTheme="minorHAnsi" w:cstheme="minorHAnsi"/>
        <w:color w:val="7F7F7F" w:themeColor="text1" w:themeTint="80"/>
        <w:sz w:val="16"/>
      </w:rPr>
      <w:t> and </w:t>
    </w:r>
    <w:r w:rsidRPr="009F3398">
      <w:rPr>
        <w:rFonts w:asciiTheme="minorHAnsi" w:eastAsia="Times New Roman" w:hAnsiTheme="minorHAnsi" w:cstheme="minorHAnsi"/>
        <w:b/>
        <w:bCs/>
        <w:color w:val="7F7F7F" w:themeColor="text1" w:themeTint="80"/>
        <w:sz w:val="16"/>
      </w:rPr>
      <w:t>First American Title Insurance Company</w:t>
    </w:r>
    <w:r w:rsidRPr="009F3398">
      <w:rPr>
        <w:rFonts w:asciiTheme="minorHAnsi" w:eastAsia="Times New Roman" w:hAnsiTheme="minorHAnsi" w:cstheme="minorHAnsi"/>
        <w:color w:val="7F7F7F" w:themeColor="text1" w:themeTint="80"/>
        <w:sz w:val="16"/>
      </w:rPr>
      <w:t>, with the remainder being solely provided by </w:t>
    </w:r>
    <w:r w:rsidRPr="009F3398">
      <w:rPr>
        <w:rFonts w:asciiTheme="minorHAnsi" w:eastAsia="Times New Roman" w:hAnsiTheme="minorHAnsi" w:cstheme="minorHAnsi"/>
        <w:b/>
        <w:bCs/>
        <w:color w:val="7F7F7F" w:themeColor="text1" w:themeTint="80"/>
        <w:sz w:val="16"/>
      </w:rPr>
      <w:t>FCT Insurance Company Ltd.</w:t>
    </w:r>
    <w:r w:rsidRPr="009F3398">
      <w:rPr>
        <w:rFonts w:asciiTheme="minorHAnsi" w:eastAsia="Times New Roman" w:hAnsiTheme="minorHAnsi" w:cstheme="minorHAnsi"/>
        <w:color w:val="7F7F7F" w:themeColor="text1" w:themeTint="80"/>
        <w:sz w:val="16"/>
      </w:rPr>
      <w:t> Reference should be made to policy documents to confirm the insurer on any individual transaction.  Services by </w:t>
    </w:r>
    <w:r w:rsidRPr="009F3398">
      <w:rPr>
        <w:rFonts w:asciiTheme="minorHAnsi" w:eastAsia="Times New Roman" w:hAnsiTheme="minorHAnsi" w:cstheme="minorHAnsi"/>
        <w:b/>
        <w:bCs/>
        <w:color w:val="7F7F7F" w:themeColor="text1" w:themeTint="80"/>
        <w:sz w:val="16"/>
      </w:rPr>
      <w:t>First Canadian Title Company Limited</w:t>
    </w:r>
    <w:r w:rsidRPr="009F3398">
      <w:rPr>
        <w:rFonts w:asciiTheme="minorHAnsi" w:eastAsia="Times New Roman" w:hAnsiTheme="minorHAnsi" w:cstheme="minorHAnsi"/>
        <w:color w:val="7F7F7F" w:themeColor="text1" w:themeTint="80"/>
        <w:sz w:val="16"/>
      </w:rPr>
      <w:t>. The services company does not provide insurance products. This material is intended to provide general information only. For specific coverage and exclusions, refer to the applicable policy. Copies are available upon request. Some products/services may vary by province. Prices and products/services offered are subject to change without notice.</w:t>
    </w:r>
  </w:p>
  <w:p w14:paraId="4D483610" w14:textId="77777777" w:rsidR="009F3398" w:rsidRPr="009F3398" w:rsidRDefault="009F3398" w:rsidP="009F3398">
    <w:pPr>
      <w:ind w:left="-1276" w:right="-524"/>
      <w:rPr>
        <w:rFonts w:asciiTheme="minorHAnsi" w:eastAsia="Times New Roman" w:hAnsiTheme="minorHAnsi" w:cstheme="minorHAnsi"/>
        <w:color w:val="7F7F7F" w:themeColor="text1" w:themeTint="80"/>
        <w:sz w:val="16"/>
      </w:rPr>
    </w:pPr>
  </w:p>
  <w:p w14:paraId="283974C2" w14:textId="04BC77AF" w:rsidR="009F3398" w:rsidRPr="009F3398" w:rsidRDefault="009F3398" w:rsidP="0008133D">
    <w:pPr>
      <w:ind w:left="-1134" w:right="-524"/>
      <w:rPr>
        <w:rFonts w:asciiTheme="minorHAnsi" w:eastAsia="Times New Roman" w:hAnsiTheme="minorHAnsi" w:cstheme="minorHAnsi"/>
        <w:b/>
        <w:color w:val="7F7F7F" w:themeColor="text1" w:themeTint="80"/>
        <w:sz w:val="16"/>
      </w:rPr>
    </w:pPr>
    <w:r w:rsidRPr="009F3398">
      <w:rPr>
        <w:rFonts w:asciiTheme="minorHAnsi" w:eastAsia="Times New Roman" w:hAnsiTheme="minorHAnsi" w:cstheme="minorHAnsi"/>
        <w:color w:val="7F7F7F" w:themeColor="text1" w:themeTint="80"/>
        <w:sz w:val="16"/>
      </w:rPr>
      <w:t xml:space="preserve">® Registered Trademark of </w:t>
    </w:r>
    <w:r w:rsidRPr="009F3398">
      <w:rPr>
        <w:rFonts w:asciiTheme="minorHAnsi" w:eastAsia="Times New Roman" w:hAnsiTheme="minorHAnsi" w:cstheme="minorHAnsi"/>
        <w:b/>
        <w:color w:val="7F7F7F" w:themeColor="text1" w:themeTint="80"/>
        <w:sz w:val="16"/>
      </w:rPr>
      <w:t>First American Financial Corporation</w:t>
    </w:r>
  </w:p>
  <w:p w14:paraId="60F3051E" w14:textId="53512950" w:rsidR="00B206B1" w:rsidRPr="00B206B1" w:rsidRDefault="00B206B1" w:rsidP="00B206B1">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A6B1B" w14:textId="77777777" w:rsidR="00140F60" w:rsidRDefault="00140F60" w:rsidP="00B206B1">
      <w:r>
        <w:separator/>
      </w:r>
    </w:p>
  </w:footnote>
  <w:footnote w:type="continuationSeparator" w:id="0">
    <w:p w14:paraId="77F04DBC" w14:textId="77777777" w:rsidR="00140F60" w:rsidRDefault="00140F60" w:rsidP="00B2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E4FFA" w14:textId="77777777" w:rsidR="00B206B1" w:rsidRPr="00B206B1" w:rsidRDefault="007659CF" w:rsidP="00B206B1">
    <w:pPr>
      <w:pStyle w:val="Header"/>
      <w:ind w:left="-1800"/>
      <w:rPr>
        <w:vertAlign w:val="subscript"/>
      </w:rPr>
    </w:pPr>
    <w:r w:rsidRPr="00515113">
      <w:rPr>
        <w:noProof/>
        <w:vertAlign w:val="subscript"/>
      </w:rPr>
      <w:drawing>
        <wp:inline distT="0" distB="0" distL="0" distR="0" wp14:anchorId="2A2466D8" wp14:editId="0712B8FD">
          <wp:extent cx="7762875" cy="1413164"/>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CT_Headers_2014_E_London"/>
                  <pic:cNvPicPr>
                    <a:picLocks/>
                  </pic:cNvPicPr>
                </pic:nvPicPr>
                <pic:blipFill rotWithShape="1">
                  <a:blip r:embed="rId1">
                    <a:extLst>
                      <a:ext uri="{28A0092B-C50C-407E-A947-70E740481C1C}">
                        <a14:useLocalDpi xmlns:a14="http://schemas.microsoft.com/office/drawing/2010/main" val="0"/>
                      </a:ext>
                    </a:extLst>
                  </a:blip>
                  <a:srcRect l="306" t="8450" r="-306" b="7758"/>
                  <a:stretch/>
                </pic:blipFill>
                <pic:spPr bwMode="auto">
                  <a:xfrm>
                    <a:off x="0" y="0"/>
                    <a:ext cx="7763046" cy="14131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B23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D32746"/>
    <w:multiLevelType w:val="hybridMultilevel"/>
    <w:tmpl w:val="51F6E1CA"/>
    <w:lvl w:ilvl="0" w:tplc="5A943540">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B1"/>
    <w:rsid w:val="0008133D"/>
    <w:rsid w:val="000E0B10"/>
    <w:rsid w:val="0014095A"/>
    <w:rsid w:val="00140F60"/>
    <w:rsid w:val="00155016"/>
    <w:rsid w:val="001E400A"/>
    <w:rsid w:val="0024176A"/>
    <w:rsid w:val="002962BF"/>
    <w:rsid w:val="002A4C55"/>
    <w:rsid w:val="002A6058"/>
    <w:rsid w:val="002C116D"/>
    <w:rsid w:val="003D61C0"/>
    <w:rsid w:val="00400130"/>
    <w:rsid w:val="00424946"/>
    <w:rsid w:val="00472A66"/>
    <w:rsid w:val="00515113"/>
    <w:rsid w:val="00516D26"/>
    <w:rsid w:val="00542FCE"/>
    <w:rsid w:val="005C0993"/>
    <w:rsid w:val="0060787B"/>
    <w:rsid w:val="00607E5D"/>
    <w:rsid w:val="00646252"/>
    <w:rsid w:val="00655B3E"/>
    <w:rsid w:val="006D1EE2"/>
    <w:rsid w:val="00727BB0"/>
    <w:rsid w:val="007659CF"/>
    <w:rsid w:val="00785D0D"/>
    <w:rsid w:val="00794D9A"/>
    <w:rsid w:val="007E245C"/>
    <w:rsid w:val="007F632B"/>
    <w:rsid w:val="008124F1"/>
    <w:rsid w:val="008B2911"/>
    <w:rsid w:val="008D0BA0"/>
    <w:rsid w:val="00905F32"/>
    <w:rsid w:val="00912951"/>
    <w:rsid w:val="00940CBA"/>
    <w:rsid w:val="00982E5E"/>
    <w:rsid w:val="009A120C"/>
    <w:rsid w:val="009C7BE9"/>
    <w:rsid w:val="009F3398"/>
    <w:rsid w:val="00A07000"/>
    <w:rsid w:val="00A82210"/>
    <w:rsid w:val="00AA6B71"/>
    <w:rsid w:val="00AE0C93"/>
    <w:rsid w:val="00AF728C"/>
    <w:rsid w:val="00B206B1"/>
    <w:rsid w:val="00B852EE"/>
    <w:rsid w:val="00B93B9F"/>
    <w:rsid w:val="00C06EE3"/>
    <w:rsid w:val="00C4009D"/>
    <w:rsid w:val="00C81A2E"/>
    <w:rsid w:val="00C825B9"/>
    <w:rsid w:val="00C8510A"/>
    <w:rsid w:val="00CA48A4"/>
    <w:rsid w:val="00D019AC"/>
    <w:rsid w:val="00D3682D"/>
    <w:rsid w:val="00D432E4"/>
    <w:rsid w:val="00D4446F"/>
    <w:rsid w:val="00D63DED"/>
    <w:rsid w:val="00DB4957"/>
    <w:rsid w:val="00E2741C"/>
    <w:rsid w:val="00E44CB6"/>
    <w:rsid w:val="00E63C01"/>
    <w:rsid w:val="00E93E46"/>
    <w:rsid w:val="00F24F9D"/>
    <w:rsid w:val="00F92AA7"/>
    <w:rsid w:val="00FA48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88CEC"/>
  <w15:chartTrackingRefBased/>
  <w15:docId w15:val="{8A8DE1DF-4A40-0547-B352-A07E1BB8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284"/>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6B1"/>
    <w:pPr>
      <w:tabs>
        <w:tab w:val="center" w:pos="4320"/>
        <w:tab w:val="right" w:pos="8640"/>
      </w:tabs>
    </w:pPr>
  </w:style>
  <w:style w:type="character" w:customStyle="1" w:styleId="HeaderChar">
    <w:name w:val="Header Char"/>
    <w:basedOn w:val="DefaultParagraphFont"/>
    <w:link w:val="Header"/>
    <w:uiPriority w:val="99"/>
    <w:rsid w:val="00B206B1"/>
  </w:style>
  <w:style w:type="paragraph" w:styleId="Footer">
    <w:name w:val="footer"/>
    <w:basedOn w:val="Normal"/>
    <w:link w:val="FooterChar"/>
    <w:uiPriority w:val="99"/>
    <w:unhideWhenUsed/>
    <w:rsid w:val="00B206B1"/>
    <w:pPr>
      <w:tabs>
        <w:tab w:val="center" w:pos="4320"/>
        <w:tab w:val="right" w:pos="8640"/>
      </w:tabs>
    </w:pPr>
  </w:style>
  <w:style w:type="character" w:customStyle="1" w:styleId="FooterChar">
    <w:name w:val="Footer Char"/>
    <w:basedOn w:val="DefaultParagraphFont"/>
    <w:link w:val="Footer"/>
    <w:uiPriority w:val="99"/>
    <w:rsid w:val="00B206B1"/>
  </w:style>
  <w:style w:type="paragraph" w:styleId="BalloonText">
    <w:name w:val="Balloon Text"/>
    <w:basedOn w:val="Normal"/>
    <w:link w:val="BalloonTextChar"/>
    <w:uiPriority w:val="99"/>
    <w:semiHidden/>
    <w:unhideWhenUsed/>
    <w:rsid w:val="00B206B1"/>
    <w:rPr>
      <w:rFonts w:ascii="Lucida Grande" w:hAnsi="Lucida Grande"/>
      <w:sz w:val="18"/>
      <w:szCs w:val="18"/>
      <w:lang w:val="x-none" w:eastAsia="x-none"/>
    </w:rPr>
  </w:style>
  <w:style w:type="character" w:customStyle="1" w:styleId="BalloonTextChar">
    <w:name w:val="Balloon Text Char"/>
    <w:link w:val="BalloonText"/>
    <w:uiPriority w:val="99"/>
    <w:semiHidden/>
    <w:rsid w:val="00B206B1"/>
    <w:rPr>
      <w:rFonts w:ascii="Lucida Grande" w:hAnsi="Lucida Grande" w:cs="Lucida Grande"/>
      <w:sz w:val="18"/>
      <w:szCs w:val="18"/>
    </w:rPr>
  </w:style>
  <w:style w:type="paragraph" w:styleId="ListParagraph">
    <w:name w:val="List Paragraph"/>
    <w:basedOn w:val="Normal"/>
    <w:uiPriority w:val="34"/>
    <w:qFormat/>
    <w:rsid w:val="00D019AC"/>
    <w:pPr>
      <w:ind w:left="720"/>
      <w:contextualSpacing/>
    </w:pPr>
  </w:style>
  <w:style w:type="character" w:styleId="CommentReference">
    <w:name w:val="annotation reference"/>
    <w:basedOn w:val="DefaultParagraphFont"/>
    <w:uiPriority w:val="99"/>
    <w:semiHidden/>
    <w:unhideWhenUsed/>
    <w:rsid w:val="00D4446F"/>
    <w:rPr>
      <w:sz w:val="16"/>
      <w:szCs w:val="16"/>
    </w:rPr>
  </w:style>
  <w:style w:type="paragraph" w:styleId="CommentText">
    <w:name w:val="annotation text"/>
    <w:basedOn w:val="Normal"/>
    <w:link w:val="CommentTextChar"/>
    <w:uiPriority w:val="99"/>
    <w:semiHidden/>
    <w:unhideWhenUsed/>
    <w:rsid w:val="00D4446F"/>
    <w:rPr>
      <w:sz w:val="20"/>
      <w:szCs w:val="20"/>
    </w:rPr>
  </w:style>
  <w:style w:type="character" w:customStyle="1" w:styleId="CommentTextChar">
    <w:name w:val="Comment Text Char"/>
    <w:basedOn w:val="DefaultParagraphFont"/>
    <w:link w:val="CommentText"/>
    <w:uiPriority w:val="99"/>
    <w:semiHidden/>
    <w:rsid w:val="00D4446F"/>
    <w:rPr>
      <w:lang w:val="en-US"/>
    </w:rPr>
  </w:style>
  <w:style w:type="paragraph" w:styleId="CommentSubject">
    <w:name w:val="annotation subject"/>
    <w:basedOn w:val="CommentText"/>
    <w:next w:val="CommentText"/>
    <w:link w:val="CommentSubjectChar"/>
    <w:uiPriority w:val="99"/>
    <w:semiHidden/>
    <w:unhideWhenUsed/>
    <w:rsid w:val="00D4446F"/>
    <w:rPr>
      <w:b/>
      <w:bCs/>
    </w:rPr>
  </w:style>
  <w:style w:type="character" w:customStyle="1" w:styleId="CommentSubjectChar">
    <w:name w:val="Comment Subject Char"/>
    <w:basedOn w:val="CommentTextChar"/>
    <w:link w:val="CommentSubject"/>
    <w:uiPriority w:val="99"/>
    <w:semiHidden/>
    <w:rsid w:val="00D4446F"/>
    <w:rPr>
      <w:b/>
      <w:bCs/>
      <w:lang w:val="en-US"/>
    </w:rPr>
  </w:style>
  <w:style w:type="character" w:styleId="Hyperlink">
    <w:name w:val="Hyperlink"/>
    <w:basedOn w:val="DefaultParagraphFont"/>
    <w:uiPriority w:val="99"/>
    <w:unhideWhenUsed/>
    <w:rsid w:val="00C400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ct.ca/wp-content/uploads/2020/06/BDM-Contact-list-EN-and-FR-June-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Extended Super Priority Lien Coverage</vt:lpstr>
    </vt:vector>
  </TitlesOfParts>
  <Company>FCT</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Super Priority Lien Coverage</dc:title>
  <dc:subject/>
  <dc:creator>FCT</dc:creator>
  <cp:keywords/>
  <cp:lastModifiedBy>Denise Hendrix</cp:lastModifiedBy>
  <cp:revision>2</cp:revision>
  <cp:lastPrinted>2020-09-01T00:22:00Z</cp:lastPrinted>
  <dcterms:created xsi:type="dcterms:W3CDTF">2020-09-02T16:53:00Z</dcterms:created>
  <dcterms:modified xsi:type="dcterms:W3CDTF">2020-09-02T16:53:00Z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Post-oasis changes to legal disclaimer</vt:lpwstr>
  </property>
  <property fmtid="{D5CDD505-2E9C-101B-9397-08002B2CF9AE}" pid="3" name="Owner">
    <vt:lpwstr>Colleen Preisner</vt:lpwstr>
  </property>
  <property fmtid="{D5CDD505-2E9C-101B-9397-08002B2CF9AE}" pid="4" name="Status">
    <vt:lpwstr>Final</vt:lpwstr>
  </property>
  <property fmtid="{D5CDD505-2E9C-101B-9397-08002B2CF9AE}" pid="5" name="Offisync_UpdateToken">
    <vt:lpwstr>1</vt:lpwstr>
  </property>
  <property fmtid="{D5CDD505-2E9C-101B-9397-08002B2CF9AE}" pid="6" name="Jive_ModifiedButNotPublished">
    <vt:lpwstr/>
  </property>
  <property fmtid="{D5CDD505-2E9C-101B-9397-08002B2CF9AE}" pid="7" name="Jive_LatestUserAccountName">
    <vt:lpwstr>kvantonder</vt:lpwstr>
  </property>
  <property fmtid="{D5CDD505-2E9C-101B-9397-08002B2CF9AE}" pid="8" name="Offisync_UniqueId">
    <vt:lpwstr>184909</vt:lpwstr>
  </property>
  <property fmtid="{D5CDD505-2E9C-101B-9397-08002B2CF9AE}" pid="9" name="Jive_VersionGuid">
    <vt:lpwstr>86d1acc7-3e17-4b77-a52b-3dc897e47366</vt:lpwstr>
  </property>
  <property fmtid="{D5CDD505-2E9C-101B-9397-08002B2CF9AE}" pid="10" name="Jive_VersionGuid_v2.5">
    <vt:lpwstr/>
  </property>
  <property fmtid="{D5CDD505-2E9C-101B-9397-08002B2CF9AE}" pid="11" name="Jive_PrevVersionNumber">
    <vt:lpwstr/>
  </property>
  <property fmtid="{D5CDD505-2E9C-101B-9397-08002B2CF9AE}" pid="12" name="Offisync_ServerID">
    <vt:lpwstr>68baa919-0f5a-4cee-aeb5-c61ae06162ca</vt:lpwstr>
  </property>
  <property fmtid="{D5CDD505-2E9C-101B-9397-08002B2CF9AE}" pid="13" name="Jive_LatestFileFullName">
    <vt:lpwstr/>
  </property>
  <property fmtid="{D5CDD505-2E9C-101B-9397-08002B2CF9AE}" pid="14" name="Offisync_ProviderInitializationData">
    <vt:lpwstr>https://www.falive.net</vt:lpwstr>
  </property>
</Properties>
</file>